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FE26" w14:textId="77777777" w:rsidR="00F70EAA" w:rsidRDefault="0071179F" w:rsidP="009140FC">
      <w:pPr>
        <w:pBdr>
          <w:top w:val="single" w:sz="4" w:space="1" w:color="auto"/>
          <w:left w:val="single" w:sz="4" w:space="4" w:color="auto"/>
          <w:bottom w:val="single" w:sz="4" w:space="1" w:color="auto"/>
          <w:right w:val="single" w:sz="4" w:space="4" w:color="auto"/>
        </w:pBdr>
        <w:spacing w:line="276" w:lineRule="auto"/>
        <w:jc w:val="center"/>
        <w:rPr>
          <w:b/>
          <w:bCs/>
          <w:sz w:val="28"/>
          <w:szCs w:val="36"/>
        </w:rPr>
      </w:pPr>
      <w:bookmarkStart w:id="0" w:name="_GoBack"/>
      <w:bookmarkEnd w:id="0"/>
      <w:r>
        <w:rPr>
          <w:b/>
          <w:bCs/>
          <w:sz w:val="28"/>
          <w:szCs w:val="36"/>
        </w:rPr>
        <w:t>Introduction</w:t>
      </w:r>
      <w:r w:rsidR="00346075">
        <w:rPr>
          <w:b/>
          <w:bCs/>
          <w:sz w:val="28"/>
          <w:szCs w:val="36"/>
        </w:rPr>
        <w:t xml:space="preserve"> to Small Business</w:t>
      </w:r>
    </w:p>
    <w:p w14:paraId="6294E114" w14:textId="77777777" w:rsidR="0029583D" w:rsidRPr="00A113F8" w:rsidRDefault="0029583D" w:rsidP="00A113F8">
      <w:pPr>
        <w:spacing w:line="276" w:lineRule="auto"/>
        <w:rPr>
          <w:b/>
          <w:bCs/>
        </w:rPr>
      </w:pPr>
      <w:r w:rsidRPr="00A113F8">
        <w:rPr>
          <w:b/>
          <w:bCs/>
        </w:rPr>
        <w:t>Definition of Small Business</w:t>
      </w:r>
    </w:p>
    <w:p w14:paraId="048B9E0D" w14:textId="77777777" w:rsidR="0029583D" w:rsidRDefault="0029583D" w:rsidP="00A113F8">
      <w:pPr>
        <w:spacing w:line="276" w:lineRule="auto"/>
        <w:jc w:val="thaiDistribute"/>
      </w:pPr>
      <w:r>
        <w:t>Small businesses are privately owned corporations, partnerships, or sole proprietorships that have fewer employees and/or less annual revenue than a regular-sized business or corporation. Businesses are defined as “small” in terms of being able to apply for government support and qualify for preferential tax policy varies depending on the country and industry.</w:t>
      </w:r>
      <w:r w:rsidR="00D726AF">
        <w:t xml:space="preserve"> In Thailand small businesses have been called together with medium businesses as Small and Medium Enterprises (SMEs). </w:t>
      </w:r>
      <w:r w:rsidR="00EF2AEF">
        <w:t xml:space="preserve">SMEs make up 98.5% of businesses in Thailand and account for some 70% of national employment, which is higher than the global average of 70%. </w:t>
      </w:r>
      <w:r w:rsidR="00EF2AEF" w:rsidRPr="00EF2AEF">
        <w:t>SMEs contribute to about 30% of total exports from Thailand. SMEs feature prominently in the government’s strategy to stimulate growth and development. The food and agricultural industry remain a place to invest in 2016. It is a crucial contributor to the national economy and offers a wide diversity of agricultural commodities and processed food items. Blessed with an abundance of natural resources, a year-round growing season, a skilled, well-educated workforce, and relatively low labor costs, Thailand possesses significant competitive advantages in the food and agricultural arena.</w:t>
      </w:r>
    </w:p>
    <w:p w14:paraId="7B3B0DC5" w14:textId="77777777" w:rsidR="00EF2AEF" w:rsidRDefault="0082388F" w:rsidP="00A113F8">
      <w:pPr>
        <w:spacing w:line="276" w:lineRule="auto"/>
        <w:jc w:val="thaiDistribute"/>
      </w:pPr>
      <w:r w:rsidRPr="0082388F">
        <w:rPr>
          <w:b/>
          <w:bCs/>
        </w:rPr>
        <w:t xml:space="preserve">Table </w:t>
      </w:r>
      <w:proofErr w:type="gramStart"/>
      <w:r w:rsidRPr="0082388F">
        <w:rPr>
          <w:b/>
          <w:bCs/>
        </w:rPr>
        <w:t>I</w:t>
      </w:r>
      <w:r>
        <w:t xml:space="preserve">  Definition</w:t>
      </w:r>
      <w:proofErr w:type="gramEnd"/>
      <w:r>
        <w:t xml:space="preserve"> of SMEs</w:t>
      </w:r>
    </w:p>
    <w:tbl>
      <w:tblPr>
        <w:tblStyle w:val="TableGrid"/>
        <w:tblW w:w="0" w:type="auto"/>
        <w:tblLook w:val="04A0" w:firstRow="1" w:lastRow="0" w:firstColumn="1" w:lastColumn="0" w:noHBand="0" w:noVBand="1"/>
      </w:tblPr>
      <w:tblGrid>
        <w:gridCol w:w="1975"/>
        <w:gridCol w:w="2533"/>
        <w:gridCol w:w="2254"/>
        <w:gridCol w:w="2254"/>
      </w:tblGrid>
      <w:tr w:rsidR="00DC3E5F" w:rsidRPr="001727C6" w14:paraId="01558176" w14:textId="77777777" w:rsidTr="001727C6">
        <w:tc>
          <w:tcPr>
            <w:tcW w:w="1975" w:type="dxa"/>
            <w:vAlign w:val="center"/>
          </w:tcPr>
          <w:p w14:paraId="238C2F7C" w14:textId="77777777" w:rsidR="00DC3E5F" w:rsidRPr="001727C6" w:rsidRDefault="00DC3E5F" w:rsidP="001727C6">
            <w:pPr>
              <w:spacing w:line="276" w:lineRule="auto"/>
              <w:jc w:val="center"/>
              <w:rPr>
                <w:b/>
                <w:bCs/>
              </w:rPr>
            </w:pPr>
            <w:r w:rsidRPr="001727C6">
              <w:rPr>
                <w:b/>
                <w:bCs/>
              </w:rPr>
              <w:t>Sizes</w:t>
            </w:r>
          </w:p>
        </w:tc>
        <w:tc>
          <w:tcPr>
            <w:tcW w:w="2533" w:type="dxa"/>
            <w:vAlign w:val="center"/>
          </w:tcPr>
          <w:p w14:paraId="540677B2" w14:textId="77777777" w:rsidR="00DC3E5F" w:rsidRPr="001727C6" w:rsidRDefault="00DC3E5F" w:rsidP="001727C6">
            <w:pPr>
              <w:spacing w:line="276" w:lineRule="auto"/>
              <w:jc w:val="center"/>
              <w:rPr>
                <w:b/>
                <w:bCs/>
              </w:rPr>
            </w:pPr>
            <w:r w:rsidRPr="001727C6">
              <w:rPr>
                <w:b/>
                <w:bCs/>
              </w:rPr>
              <w:t>Industry</w:t>
            </w:r>
          </w:p>
        </w:tc>
        <w:tc>
          <w:tcPr>
            <w:tcW w:w="2254" w:type="dxa"/>
            <w:vAlign w:val="center"/>
          </w:tcPr>
          <w:p w14:paraId="172AC4BA" w14:textId="77777777" w:rsidR="00DC3E5F" w:rsidRPr="001727C6" w:rsidRDefault="00FA12BF" w:rsidP="001727C6">
            <w:pPr>
              <w:spacing w:line="276" w:lineRule="auto"/>
              <w:jc w:val="center"/>
              <w:rPr>
                <w:b/>
                <w:bCs/>
              </w:rPr>
            </w:pPr>
            <w:r w:rsidRPr="001727C6">
              <w:rPr>
                <w:b/>
                <w:bCs/>
              </w:rPr>
              <w:t>Long-term Assets (Million Baht)</w:t>
            </w:r>
          </w:p>
        </w:tc>
        <w:tc>
          <w:tcPr>
            <w:tcW w:w="2254" w:type="dxa"/>
            <w:vAlign w:val="center"/>
          </w:tcPr>
          <w:p w14:paraId="5EC9DDF9" w14:textId="77777777" w:rsidR="00DC3E5F" w:rsidRPr="001727C6" w:rsidRDefault="00FA12BF" w:rsidP="001727C6">
            <w:pPr>
              <w:spacing w:line="276" w:lineRule="auto"/>
              <w:jc w:val="center"/>
              <w:rPr>
                <w:b/>
                <w:bCs/>
              </w:rPr>
            </w:pPr>
            <w:r w:rsidRPr="001727C6">
              <w:rPr>
                <w:b/>
                <w:bCs/>
              </w:rPr>
              <w:t>Employees (person)</w:t>
            </w:r>
          </w:p>
        </w:tc>
      </w:tr>
      <w:tr w:rsidR="00DC3E5F" w14:paraId="54122DB0" w14:textId="77777777" w:rsidTr="00FA12BF">
        <w:tc>
          <w:tcPr>
            <w:tcW w:w="1975" w:type="dxa"/>
          </w:tcPr>
          <w:p w14:paraId="485443D7" w14:textId="77777777" w:rsidR="00DC3E5F" w:rsidRDefault="00DC3E5F" w:rsidP="001727C6">
            <w:pPr>
              <w:spacing w:line="276" w:lineRule="auto"/>
              <w:jc w:val="center"/>
            </w:pPr>
            <w:r>
              <w:t>Small businesses</w:t>
            </w:r>
          </w:p>
        </w:tc>
        <w:tc>
          <w:tcPr>
            <w:tcW w:w="2533" w:type="dxa"/>
          </w:tcPr>
          <w:p w14:paraId="63BB5CE1" w14:textId="77777777" w:rsidR="00DC3E5F" w:rsidRDefault="00FA12BF" w:rsidP="001727C6">
            <w:pPr>
              <w:spacing w:line="276" w:lineRule="auto"/>
              <w:jc w:val="center"/>
            </w:pPr>
            <w:r>
              <w:t>Manufacturing</w:t>
            </w:r>
          </w:p>
          <w:p w14:paraId="25E71DE0" w14:textId="77777777" w:rsidR="00FA12BF" w:rsidRDefault="00FA12BF" w:rsidP="001727C6">
            <w:pPr>
              <w:spacing w:line="276" w:lineRule="auto"/>
              <w:jc w:val="center"/>
            </w:pPr>
            <w:r>
              <w:t>Wholesaling</w:t>
            </w:r>
          </w:p>
          <w:p w14:paraId="2E71D0B3" w14:textId="77777777" w:rsidR="00FA12BF" w:rsidRDefault="00FA12BF" w:rsidP="001727C6">
            <w:pPr>
              <w:spacing w:line="276" w:lineRule="auto"/>
              <w:jc w:val="center"/>
            </w:pPr>
            <w:r>
              <w:t>Retailing</w:t>
            </w:r>
          </w:p>
          <w:p w14:paraId="5F6030F4" w14:textId="77777777" w:rsidR="00FA12BF" w:rsidRDefault="00FA12BF" w:rsidP="001727C6">
            <w:pPr>
              <w:spacing w:line="276" w:lineRule="auto"/>
              <w:jc w:val="center"/>
            </w:pPr>
            <w:r>
              <w:t>Service</w:t>
            </w:r>
          </w:p>
        </w:tc>
        <w:tc>
          <w:tcPr>
            <w:tcW w:w="2254" w:type="dxa"/>
          </w:tcPr>
          <w:p w14:paraId="0842D6E3" w14:textId="77777777" w:rsidR="00DC3E5F" w:rsidRDefault="00FA12BF" w:rsidP="001727C6">
            <w:pPr>
              <w:spacing w:line="276" w:lineRule="auto"/>
              <w:jc w:val="center"/>
            </w:pPr>
            <w:r>
              <w:t>Less than 50</w:t>
            </w:r>
          </w:p>
          <w:p w14:paraId="073A7891" w14:textId="77777777" w:rsidR="00FA12BF" w:rsidRPr="00FA12BF" w:rsidRDefault="00FA12BF" w:rsidP="001727C6">
            <w:pPr>
              <w:spacing w:line="276" w:lineRule="auto"/>
              <w:jc w:val="center"/>
            </w:pPr>
            <w:r w:rsidRPr="00FA12BF">
              <w:t>Less than 50</w:t>
            </w:r>
          </w:p>
          <w:p w14:paraId="69300BB2" w14:textId="77777777" w:rsidR="00FA12BF" w:rsidRPr="00FA12BF" w:rsidRDefault="00FA12BF" w:rsidP="001727C6">
            <w:pPr>
              <w:spacing w:line="276" w:lineRule="auto"/>
              <w:jc w:val="center"/>
            </w:pPr>
            <w:r>
              <w:t>Less than 3</w:t>
            </w:r>
            <w:r w:rsidRPr="00FA12BF">
              <w:t>0</w:t>
            </w:r>
          </w:p>
          <w:p w14:paraId="733D8E44" w14:textId="77777777" w:rsidR="00FA12BF" w:rsidRDefault="00FA12BF" w:rsidP="001727C6">
            <w:pPr>
              <w:spacing w:line="276" w:lineRule="auto"/>
              <w:jc w:val="center"/>
            </w:pPr>
            <w:r w:rsidRPr="00FA12BF">
              <w:t>Less than 50</w:t>
            </w:r>
          </w:p>
        </w:tc>
        <w:tc>
          <w:tcPr>
            <w:tcW w:w="2254" w:type="dxa"/>
          </w:tcPr>
          <w:p w14:paraId="1B87C868" w14:textId="77777777" w:rsidR="00A113F8" w:rsidRPr="00A113F8" w:rsidRDefault="00A113F8" w:rsidP="001727C6">
            <w:pPr>
              <w:spacing w:line="276" w:lineRule="auto"/>
              <w:jc w:val="center"/>
            </w:pPr>
            <w:r w:rsidRPr="00A113F8">
              <w:t>Less than 50</w:t>
            </w:r>
          </w:p>
          <w:p w14:paraId="43200171" w14:textId="77777777" w:rsidR="00A113F8" w:rsidRDefault="00A113F8" w:rsidP="001727C6">
            <w:pPr>
              <w:spacing w:line="276" w:lineRule="auto"/>
              <w:jc w:val="center"/>
            </w:pPr>
            <w:r w:rsidRPr="00A113F8">
              <w:t xml:space="preserve">Less than </w:t>
            </w:r>
            <w:r>
              <w:t>2</w:t>
            </w:r>
            <w:r w:rsidRPr="00A113F8">
              <w:t>5</w:t>
            </w:r>
          </w:p>
          <w:p w14:paraId="3DE426B7" w14:textId="77777777" w:rsidR="00A113F8" w:rsidRDefault="00A113F8" w:rsidP="001727C6">
            <w:pPr>
              <w:spacing w:line="276" w:lineRule="auto"/>
              <w:jc w:val="center"/>
            </w:pPr>
            <w:r>
              <w:t>Less than 15</w:t>
            </w:r>
          </w:p>
          <w:p w14:paraId="74AE0C13" w14:textId="77777777" w:rsidR="00DC3E5F" w:rsidRDefault="00A113F8" w:rsidP="001727C6">
            <w:pPr>
              <w:spacing w:line="276" w:lineRule="auto"/>
              <w:jc w:val="center"/>
            </w:pPr>
            <w:r w:rsidRPr="00A113F8">
              <w:t>Less than 50</w:t>
            </w:r>
          </w:p>
        </w:tc>
      </w:tr>
      <w:tr w:rsidR="00A113F8" w14:paraId="454CE189" w14:textId="77777777" w:rsidTr="00FA12BF">
        <w:tc>
          <w:tcPr>
            <w:tcW w:w="1975" w:type="dxa"/>
          </w:tcPr>
          <w:p w14:paraId="586F8B48" w14:textId="77777777" w:rsidR="00A113F8" w:rsidRDefault="00A113F8" w:rsidP="001727C6">
            <w:pPr>
              <w:spacing w:line="276" w:lineRule="auto"/>
              <w:jc w:val="center"/>
            </w:pPr>
            <w:r>
              <w:t>Medium businesses</w:t>
            </w:r>
          </w:p>
        </w:tc>
        <w:tc>
          <w:tcPr>
            <w:tcW w:w="2533" w:type="dxa"/>
          </w:tcPr>
          <w:p w14:paraId="4A3F3AE6" w14:textId="77777777" w:rsidR="00A113F8" w:rsidRPr="00A113F8" w:rsidRDefault="00A113F8" w:rsidP="001727C6">
            <w:pPr>
              <w:spacing w:line="276" w:lineRule="auto"/>
              <w:jc w:val="center"/>
            </w:pPr>
            <w:r w:rsidRPr="00A113F8">
              <w:t>Manufacturing</w:t>
            </w:r>
          </w:p>
          <w:p w14:paraId="76C3590D" w14:textId="77777777" w:rsidR="00A113F8" w:rsidRPr="00A113F8" w:rsidRDefault="00A113F8" w:rsidP="001727C6">
            <w:pPr>
              <w:spacing w:line="276" w:lineRule="auto"/>
              <w:jc w:val="center"/>
            </w:pPr>
            <w:r w:rsidRPr="00A113F8">
              <w:t>Wholesaling</w:t>
            </w:r>
          </w:p>
          <w:p w14:paraId="3F3C3D36" w14:textId="77777777" w:rsidR="00A113F8" w:rsidRPr="00A113F8" w:rsidRDefault="00A113F8" w:rsidP="001727C6">
            <w:pPr>
              <w:spacing w:line="276" w:lineRule="auto"/>
              <w:jc w:val="center"/>
            </w:pPr>
            <w:r w:rsidRPr="00A113F8">
              <w:t>Retailing</w:t>
            </w:r>
          </w:p>
          <w:p w14:paraId="05051344" w14:textId="77777777" w:rsidR="00A113F8" w:rsidRDefault="00A113F8" w:rsidP="001727C6">
            <w:pPr>
              <w:spacing w:line="276" w:lineRule="auto"/>
              <w:jc w:val="center"/>
            </w:pPr>
            <w:r w:rsidRPr="00A113F8">
              <w:t>Service</w:t>
            </w:r>
          </w:p>
        </w:tc>
        <w:tc>
          <w:tcPr>
            <w:tcW w:w="2254" w:type="dxa"/>
          </w:tcPr>
          <w:p w14:paraId="2EC0D898" w14:textId="77777777" w:rsidR="00A113F8" w:rsidRDefault="00A113F8" w:rsidP="001727C6">
            <w:pPr>
              <w:spacing w:line="276" w:lineRule="auto"/>
              <w:jc w:val="center"/>
            </w:pPr>
            <w:r>
              <w:t>50-200</w:t>
            </w:r>
          </w:p>
          <w:p w14:paraId="3741FE3C" w14:textId="77777777" w:rsidR="00A113F8" w:rsidRDefault="00A113F8" w:rsidP="001727C6">
            <w:pPr>
              <w:spacing w:line="276" w:lineRule="auto"/>
              <w:jc w:val="center"/>
            </w:pPr>
            <w:r>
              <w:t>50-100</w:t>
            </w:r>
          </w:p>
          <w:p w14:paraId="79C3146B" w14:textId="77777777" w:rsidR="00A113F8" w:rsidRDefault="00A113F8" w:rsidP="001727C6">
            <w:pPr>
              <w:spacing w:line="276" w:lineRule="auto"/>
              <w:jc w:val="center"/>
            </w:pPr>
            <w:r>
              <w:t>30-60</w:t>
            </w:r>
          </w:p>
          <w:p w14:paraId="4BF337CB" w14:textId="77777777" w:rsidR="00A113F8" w:rsidRDefault="00A113F8" w:rsidP="001727C6">
            <w:pPr>
              <w:spacing w:line="276" w:lineRule="auto"/>
              <w:jc w:val="center"/>
            </w:pPr>
            <w:r>
              <w:t>50-200</w:t>
            </w:r>
          </w:p>
        </w:tc>
        <w:tc>
          <w:tcPr>
            <w:tcW w:w="2254" w:type="dxa"/>
          </w:tcPr>
          <w:p w14:paraId="4CB04861" w14:textId="77777777" w:rsidR="00A113F8" w:rsidRDefault="00A113F8" w:rsidP="001727C6">
            <w:pPr>
              <w:spacing w:line="276" w:lineRule="auto"/>
              <w:jc w:val="center"/>
            </w:pPr>
            <w:r>
              <w:t>51-200</w:t>
            </w:r>
          </w:p>
          <w:p w14:paraId="21D57EB7" w14:textId="77777777" w:rsidR="00A113F8" w:rsidRDefault="00A113F8" w:rsidP="001727C6">
            <w:pPr>
              <w:spacing w:line="276" w:lineRule="auto"/>
              <w:jc w:val="center"/>
            </w:pPr>
            <w:r>
              <w:t>26-50</w:t>
            </w:r>
          </w:p>
          <w:p w14:paraId="166B0547" w14:textId="77777777" w:rsidR="00A113F8" w:rsidRDefault="00A113F8" w:rsidP="001727C6">
            <w:pPr>
              <w:spacing w:line="276" w:lineRule="auto"/>
              <w:jc w:val="center"/>
            </w:pPr>
            <w:r>
              <w:t>16-30</w:t>
            </w:r>
          </w:p>
          <w:p w14:paraId="22B6439F" w14:textId="77777777" w:rsidR="00A113F8" w:rsidRPr="00A113F8" w:rsidRDefault="00A113F8" w:rsidP="001727C6">
            <w:pPr>
              <w:spacing w:line="276" w:lineRule="auto"/>
              <w:jc w:val="center"/>
            </w:pPr>
            <w:r>
              <w:t>51-200</w:t>
            </w:r>
          </w:p>
        </w:tc>
      </w:tr>
    </w:tbl>
    <w:p w14:paraId="31751625" w14:textId="77777777" w:rsidR="0082388F" w:rsidRDefault="00A113F8" w:rsidP="00A113F8">
      <w:pPr>
        <w:spacing w:line="276" w:lineRule="auto"/>
        <w:jc w:val="thaiDistribute"/>
      </w:pPr>
      <w:r w:rsidRPr="00A113F8">
        <w:rPr>
          <w:b/>
          <w:bCs/>
        </w:rPr>
        <w:t>Source:</w:t>
      </w:r>
      <w:r>
        <w:t xml:space="preserve"> Office of SMEs Promotion, 2012 (p.36).</w:t>
      </w:r>
    </w:p>
    <w:p w14:paraId="73DF46F4" w14:textId="77777777" w:rsidR="009140FC" w:rsidRDefault="009140FC" w:rsidP="00A113F8">
      <w:pPr>
        <w:spacing w:line="276" w:lineRule="auto"/>
        <w:jc w:val="thaiDistribute"/>
        <w:rPr>
          <w:b/>
          <w:bCs/>
        </w:rPr>
      </w:pPr>
    </w:p>
    <w:p w14:paraId="57B203B6" w14:textId="77777777" w:rsidR="00FB4F83" w:rsidRDefault="009140FC" w:rsidP="00A113F8">
      <w:pPr>
        <w:spacing w:line="276" w:lineRule="auto"/>
        <w:jc w:val="thaiDistribute"/>
        <w:rPr>
          <w:b/>
          <w:bCs/>
        </w:rPr>
      </w:pPr>
      <w:r w:rsidRPr="009140FC">
        <w:rPr>
          <w:b/>
          <w:bCs/>
        </w:rPr>
        <w:t>SMEs Internationalization</w:t>
      </w:r>
    </w:p>
    <w:p w14:paraId="63454DBC" w14:textId="77777777" w:rsidR="009140FC" w:rsidRDefault="009140FC" w:rsidP="001E5983">
      <w:pPr>
        <w:spacing w:line="276" w:lineRule="auto"/>
        <w:jc w:val="center"/>
      </w:pPr>
      <w:r w:rsidRPr="009140FC">
        <w:rPr>
          <w:noProof/>
        </w:rPr>
        <w:drawing>
          <wp:inline distT="0" distB="0" distL="0" distR="0" wp14:anchorId="1E285300" wp14:editId="0C04F41B">
            <wp:extent cx="2708739" cy="1823663"/>
            <wp:effectExtent l="19050" t="0" r="0" b="0"/>
            <wp:docPr id="1" name="Picture 1">
              <a:extLst xmlns:a="http://schemas.openxmlformats.org/drawingml/2006/main">
                <a:ext uri="{FF2B5EF4-FFF2-40B4-BE49-F238E27FC236}">
                  <a16:creationId xmlns:a16="http://schemas.microsoft.com/office/drawing/2014/main" id="{DE926246-93FA-4A5F-8298-A90AB0E5541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926246-93FA-4A5F-8298-A90AB0E55412}"/>
                        </a:ext>
                      </a:extLst>
                    </pic:cNvPr>
                    <pic:cNvPicPr>
                      <a:picLocks noChangeAspect="1"/>
                    </pic:cNvPicPr>
                  </pic:nvPicPr>
                  <pic:blipFill>
                    <a:blip r:embed="rId6" cstate="print"/>
                    <a:stretch>
                      <a:fillRect/>
                    </a:stretch>
                  </pic:blipFill>
                  <pic:spPr>
                    <a:xfrm>
                      <a:off x="0" y="0"/>
                      <a:ext cx="2710265" cy="1824690"/>
                    </a:xfrm>
                    <a:prstGeom prst="rect">
                      <a:avLst/>
                    </a:prstGeom>
                  </pic:spPr>
                </pic:pic>
              </a:graphicData>
            </a:graphic>
          </wp:inline>
        </w:drawing>
      </w:r>
    </w:p>
    <w:p w14:paraId="74C3FF5C" w14:textId="77777777" w:rsidR="009140FC" w:rsidRDefault="009140FC" w:rsidP="00A113F8">
      <w:pPr>
        <w:spacing w:line="276" w:lineRule="auto"/>
        <w:jc w:val="thaiDistribute"/>
      </w:pPr>
      <w:r>
        <w:t>Source: Office of SMEs Promotion, 2012 (p.37)</w:t>
      </w:r>
    </w:p>
    <w:sectPr w:rsidR="009140FC" w:rsidSect="00891E88">
      <w:footerReference w:type="default" r:id="rId7"/>
      <w:pgSz w:w="11906" w:h="16838"/>
      <w:pgMar w:top="1440" w:right="1440" w:bottom="117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31F4" w14:textId="77777777" w:rsidR="00D87768" w:rsidRDefault="00D87768" w:rsidP="00D87768">
      <w:pPr>
        <w:spacing w:after="0" w:line="240" w:lineRule="auto"/>
      </w:pPr>
      <w:r>
        <w:separator/>
      </w:r>
    </w:p>
  </w:endnote>
  <w:endnote w:type="continuationSeparator" w:id="0">
    <w:p w14:paraId="63B2C31D" w14:textId="77777777" w:rsidR="00D87768" w:rsidRDefault="00D87768" w:rsidP="00D8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20002A87" w:usb1="4000207B" w:usb2="00000000"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661"/>
      <w:docPartObj>
        <w:docPartGallery w:val="Page Numbers (Bottom of Page)"/>
        <w:docPartUnique/>
      </w:docPartObj>
    </w:sdtPr>
    <w:sdtEndPr/>
    <w:sdtContent>
      <w:p w14:paraId="3E9C5C94" w14:textId="77777777" w:rsidR="00D87768" w:rsidRDefault="003512EB">
        <w:pPr>
          <w:pStyle w:val="Footer"/>
          <w:jc w:val="right"/>
        </w:pPr>
        <w:r>
          <w:rPr>
            <w:noProof/>
          </w:rPr>
          <w:fldChar w:fldCharType="begin"/>
        </w:r>
        <w:r>
          <w:rPr>
            <w:noProof/>
          </w:rPr>
          <w:instrText xml:space="preserve"> PAGE   \* MERGEFORMAT </w:instrText>
        </w:r>
        <w:r>
          <w:rPr>
            <w:noProof/>
          </w:rPr>
          <w:fldChar w:fldCharType="separate"/>
        </w:r>
        <w:r w:rsidR="00346075">
          <w:rPr>
            <w:noProof/>
          </w:rPr>
          <w:t>1</w:t>
        </w:r>
        <w:r>
          <w:rPr>
            <w:noProof/>
          </w:rPr>
          <w:fldChar w:fldCharType="end"/>
        </w:r>
      </w:p>
    </w:sdtContent>
  </w:sdt>
  <w:p w14:paraId="0F9870C3" w14:textId="77777777" w:rsidR="00D87768" w:rsidRDefault="00D8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5FC4" w14:textId="77777777" w:rsidR="00D87768" w:rsidRDefault="00D87768" w:rsidP="00D87768">
      <w:pPr>
        <w:spacing w:after="0" w:line="240" w:lineRule="auto"/>
      </w:pPr>
      <w:r>
        <w:separator/>
      </w:r>
    </w:p>
  </w:footnote>
  <w:footnote w:type="continuationSeparator" w:id="0">
    <w:p w14:paraId="0F75F555" w14:textId="77777777" w:rsidR="00D87768" w:rsidRDefault="00D87768" w:rsidP="00D87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48"/>
    <w:rsid w:val="000B178C"/>
    <w:rsid w:val="001727C6"/>
    <w:rsid w:val="001E5983"/>
    <w:rsid w:val="0029583D"/>
    <w:rsid w:val="0032571C"/>
    <w:rsid w:val="00346075"/>
    <w:rsid w:val="003512EB"/>
    <w:rsid w:val="00525C4D"/>
    <w:rsid w:val="0071179F"/>
    <w:rsid w:val="007F3E75"/>
    <w:rsid w:val="0082388F"/>
    <w:rsid w:val="00891E88"/>
    <w:rsid w:val="009140FC"/>
    <w:rsid w:val="00A113F8"/>
    <w:rsid w:val="00D726AF"/>
    <w:rsid w:val="00D87768"/>
    <w:rsid w:val="00DA7D48"/>
    <w:rsid w:val="00DC3E5F"/>
    <w:rsid w:val="00E5447F"/>
    <w:rsid w:val="00EF2AEF"/>
    <w:rsid w:val="00F70EAA"/>
    <w:rsid w:val="00FA12BF"/>
    <w:rsid w:val="00FB4F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1537"/>
  <w15:docId w15:val="{B4FF4986-9DA3-49A5-BF50-C57FB67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 SarabunPSK"/>
        <w:sz w:val="24"/>
        <w:szCs w:val="3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0F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140FC"/>
    <w:rPr>
      <w:rFonts w:ascii="Tahoma" w:hAnsi="Tahoma" w:cs="Angsana New"/>
      <w:sz w:val="16"/>
      <w:szCs w:val="20"/>
    </w:rPr>
  </w:style>
  <w:style w:type="paragraph" w:styleId="Header">
    <w:name w:val="header"/>
    <w:basedOn w:val="Normal"/>
    <w:link w:val="HeaderChar"/>
    <w:uiPriority w:val="99"/>
    <w:semiHidden/>
    <w:unhideWhenUsed/>
    <w:rsid w:val="00D87768"/>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semiHidden/>
    <w:rsid w:val="00D87768"/>
    <w:rPr>
      <w:rFonts w:cs="Angsana New"/>
    </w:rPr>
  </w:style>
  <w:style w:type="paragraph" w:styleId="Footer">
    <w:name w:val="footer"/>
    <w:basedOn w:val="Normal"/>
    <w:link w:val="FooterChar"/>
    <w:uiPriority w:val="99"/>
    <w:unhideWhenUsed/>
    <w:rsid w:val="00D87768"/>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D87768"/>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dc:creator>
  <cp:keywords/>
  <dc:description/>
  <cp:lastModifiedBy>นลิน สีมะเสถียรโสภณ</cp:lastModifiedBy>
  <cp:revision>16</cp:revision>
  <cp:lastPrinted>2018-09-09T04:06:00Z</cp:lastPrinted>
  <dcterms:created xsi:type="dcterms:W3CDTF">2017-08-16T11:03:00Z</dcterms:created>
  <dcterms:modified xsi:type="dcterms:W3CDTF">2018-09-09T04:07:00Z</dcterms:modified>
</cp:coreProperties>
</file>